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82" w:rsidRDefault="001A6E82" w:rsidP="001A6E82">
      <w:pPr>
        <w:pStyle w:val="a3"/>
        <w:ind w:left="396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18665" cy="39290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665" cy="39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E82" w:rsidRDefault="001A6E82" w:rsidP="001A6E82">
      <w:pPr>
        <w:spacing w:before="8"/>
        <w:ind w:left="168" w:right="102"/>
        <w:jc w:val="center"/>
        <w:rPr>
          <w:rFonts w:ascii="Tahoma" w:hAnsi="Tahoma"/>
          <w:sz w:val="18"/>
        </w:rPr>
      </w:pPr>
      <w:r>
        <w:rPr>
          <w:rFonts w:ascii="Tahoma" w:hAnsi="Tahoma"/>
          <w:w w:val="110"/>
          <w:sz w:val="18"/>
        </w:rPr>
        <w:t>ΕΛΛΗΝΙΚΗ ΔΗΜΟΚΡΑΤΙΑ</w:t>
      </w:r>
    </w:p>
    <w:p w:rsidR="001A6E82" w:rsidRDefault="001A6E82" w:rsidP="001A6E82">
      <w:pPr>
        <w:spacing w:before="2" w:line="216" w:lineRule="exact"/>
        <w:ind w:left="168" w:right="106"/>
        <w:jc w:val="center"/>
        <w:rPr>
          <w:rFonts w:ascii="Tahoma" w:hAnsi="Tahoma"/>
          <w:sz w:val="18"/>
        </w:rPr>
      </w:pPr>
      <w:r>
        <w:rPr>
          <w:rFonts w:ascii="Tahoma" w:hAnsi="Tahoma"/>
          <w:w w:val="110"/>
          <w:sz w:val="18"/>
        </w:rPr>
        <w:t>ΥΠΟΥΡΓΕΙΟ ΕΡΓΑΣΙΑΣ &amp; ΚΟΙΝΩΝΙΚΩΝ ΥΠΟΘΕΣΕΩΝ</w:t>
      </w:r>
    </w:p>
    <w:p w:rsidR="001A6E82" w:rsidRDefault="001A6E82" w:rsidP="001A6E82">
      <w:pPr>
        <w:spacing w:line="373" w:lineRule="exact"/>
        <w:ind w:left="168" w:right="98"/>
        <w:jc w:val="center"/>
        <w:rPr>
          <w:rFonts w:ascii="Tahoma" w:hAnsi="Tahoma"/>
          <w:b/>
          <w:sz w:val="31"/>
        </w:rPr>
      </w:pPr>
      <w:r>
        <w:rPr>
          <w:rFonts w:ascii="Tahoma" w:hAnsi="Tahoma"/>
          <w:b/>
          <w:color w:val="365F91"/>
          <w:w w:val="110"/>
          <w:sz w:val="31"/>
        </w:rPr>
        <w:t>e-ΕΦΚΑ</w:t>
      </w:r>
    </w:p>
    <w:p w:rsidR="001A6E82" w:rsidRDefault="001A6E82" w:rsidP="001A6E82">
      <w:pPr>
        <w:spacing w:line="217" w:lineRule="exact"/>
        <w:ind w:left="168" w:right="108"/>
        <w:jc w:val="center"/>
        <w:rPr>
          <w:rFonts w:ascii="Tahoma" w:hAnsi="Tahoma"/>
          <w:sz w:val="18"/>
        </w:rPr>
      </w:pPr>
      <w:r>
        <w:rPr>
          <w:rFonts w:ascii="Tahoma" w:hAnsi="Tahoma"/>
          <w:color w:val="365F91"/>
          <w:w w:val="110"/>
          <w:sz w:val="18"/>
        </w:rPr>
        <w:t>ΗΛΕΚΤΡΟΝΙΚΟΣ ΕΘΝΙΚΟΣ ΦΟΡΕΑΣ ΚΟΙΝΩΝΙΚΗΣ ΑΣΦΑΛΙΣΗΣ</w:t>
      </w:r>
    </w:p>
    <w:p w:rsidR="001A6E82" w:rsidRDefault="001A6E82" w:rsidP="001A6E82">
      <w:pPr>
        <w:pStyle w:val="a3"/>
        <w:spacing w:before="1"/>
        <w:rPr>
          <w:rFonts w:ascii="Tahoma"/>
          <w:sz w:val="27"/>
        </w:rPr>
      </w:pPr>
    </w:p>
    <w:p w:rsidR="001A6E82" w:rsidRDefault="001A6E82" w:rsidP="001A6E82">
      <w:pPr>
        <w:ind w:left="120" w:right="113"/>
        <w:jc w:val="both"/>
        <w:rPr>
          <w:sz w:val="28"/>
        </w:rPr>
      </w:pPr>
      <w:r>
        <w:rPr>
          <w:sz w:val="28"/>
        </w:rPr>
        <w:t>ΜΕ ΑΠΟΦΑΣΗ ΤΟΥ ΔΙΟΙΚΗΤΗ ΤΟΥ e-ΕΦΚΑ ΤΡΟΠΟΠΟΙΟΥΝΤΑΙ ΠΡΟΣΩΡΙΝΑ ΑΠΟ 16 ΜΑΡΤΙΟΥ 2020 ΟΙ ΔΙΑΔΙΚΑΣΙΕΣ ΕΞΥΠΗΡΕΤΗΣΗΣ ΚΟΙΝΟΥ ΣΕ ΟΛΕΣ ΤΙΣ ΟΡΓΑΝΙΚΕΣ ΜΟΝΑΔΕΣ ΤΟΥ e-ΕΦΚΑ ΩΣ ΕΞΗΣ:</w:t>
      </w:r>
    </w:p>
    <w:p w:rsidR="001A6E82" w:rsidRDefault="001A6E82" w:rsidP="001A6E82">
      <w:pPr>
        <w:pStyle w:val="a3"/>
        <w:spacing w:before="1"/>
        <w:rPr>
          <w:sz w:val="28"/>
        </w:rPr>
      </w:pPr>
    </w:p>
    <w:p w:rsidR="001A6E82" w:rsidRDefault="001A6E82" w:rsidP="001A6E82">
      <w:pPr>
        <w:pStyle w:val="a4"/>
        <w:numPr>
          <w:ilvl w:val="0"/>
          <w:numId w:val="1"/>
        </w:numPr>
        <w:tabs>
          <w:tab w:val="left" w:pos="841"/>
          <w:tab w:val="left" w:pos="3767"/>
          <w:tab w:val="left" w:pos="6568"/>
          <w:tab w:val="left" w:pos="7895"/>
        </w:tabs>
        <w:ind w:right="114" w:hanging="360"/>
        <w:jc w:val="both"/>
        <w:rPr>
          <w:b/>
          <w:sz w:val="28"/>
        </w:rPr>
      </w:pPr>
      <w:r>
        <w:rPr>
          <w:sz w:val="28"/>
        </w:rPr>
        <w:t>ΟΛΕΣ ΟΙ ΣΥΝΑΛΛΑΓΕΣ ΠΟΥ ΥΠΟΣΤΗΡΙΖΟΝΤΑΙ ΗΛΕΚΤΡΟΝΙΚΑ ΜΕΣΩ ΤΗΣ ΙΣΤΟΣΕΛΙΔΑΣ</w:t>
      </w:r>
      <w:r>
        <w:rPr>
          <w:color w:val="0000FF"/>
          <w:sz w:val="28"/>
        </w:rPr>
        <w:t xml:space="preserve"> </w:t>
      </w:r>
      <w:hyperlink r:id="rId6">
        <w:r>
          <w:rPr>
            <w:b/>
            <w:color w:val="0000FF"/>
            <w:sz w:val="28"/>
            <w:u w:val="thick" w:color="0000FF"/>
          </w:rPr>
          <w:t>www.efka.gov.gr</w:t>
        </w:r>
        <w:r>
          <w:rPr>
            <w:b/>
            <w:color w:val="0000FF"/>
            <w:sz w:val="28"/>
          </w:rPr>
          <w:t xml:space="preserve"> </w:t>
        </w:r>
      </w:hyperlink>
      <w:r>
        <w:rPr>
          <w:b/>
          <w:sz w:val="28"/>
        </w:rPr>
        <w:t>ΔΙΕΝΕΡΓΟΥΝΤΑΙ ΑΠΟΚΛΕΙΣΤΙΚΑ</w:t>
      </w:r>
      <w:r>
        <w:rPr>
          <w:b/>
          <w:sz w:val="28"/>
        </w:rPr>
        <w:tab/>
        <w:t>ΗΛΕΚΤΡΟΝΙΚΑ</w:t>
      </w:r>
      <w:r>
        <w:rPr>
          <w:b/>
          <w:sz w:val="28"/>
        </w:rPr>
        <w:tab/>
        <w:t>ΚΑΙ</w:t>
      </w:r>
      <w:r>
        <w:rPr>
          <w:b/>
          <w:sz w:val="28"/>
        </w:rPr>
        <w:tab/>
      </w:r>
      <w:r>
        <w:rPr>
          <w:b/>
          <w:spacing w:val="-6"/>
          <w:sz w:val="28"/>
        </w:rPr>
        <w:t xml:space="preserve">ΔΕΝ </w:t>
      </w:r>
      <w:r>
        <w:rPr>
          <w:b/>
          <w:sz w:val="28"/>
        </w:rPr>
        <w:t>ΕΞΥΠΗΡΕΤΟΥΝΤΑΙ ΣΤΙΣ ΟΡΓΑΝΙΚΕΣ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ΜΟΝΑΔΕΣ.</w:t>
      </w:r>
    </w:p>
    <w:p w:rsidR="001A6E82" w:rsidRDefault="001A6E82" w:rsidP="001A6E82">
      <w:pPr>
        <w:pStyle w:val="a4"/>
        <w:numPr>
          <w:ilvl w:val="0"/>
          <w:numId w:val="1"/>
        </w:numPr>
        <w:tabs>
          <w:tab w:val="left" w:pos="841"/>
          <w:tab w:val="left" w:pos="3343"/>
          <w:tab w:val="left" w:pos="6229"/>
          <w:tab w:val="left" w:pos="6951"/>
        </w:tabs>
        <w:ind w:right="113" w:hanging="360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ΓΙΑ ΟΛΕΣ ΤΙΣ ΥΠΟΛΟΙΠΕΣ ΣΥΝΑΛΛΑΓΕΣ ΟΛΟΙ ΟΙ ΑΣΦΑΛΙΣΜΕΝΟΙ, ΣΥΝΤΑΞΙΟΥΧΟΙ ΚΑΙ ΕΡΓΟΔΟΤΕΣ ΘΑ ΠΡΕΠΕΙ ΝΑ </w:t>
      </w:r>
      <w:r>
        <w:rPr>
          <w:b/>
          <w:sz w:val="28"/>
        </w:rPr>
        <w:t xml:space="preserve">ΥΠΟΒΑΛΛΟΥΝ ΠΡΩΤΑ ΤΟ ΑΙΤΗΜΑ ΗΛΕΚΤΡΟΝΙΚΑ </w:t>
      </w:r>
      <w:r>
        <w:rPr>
          <w:sz w:val="28"/>
        </w:rPr>
        <w:t>ΣΤΗΝ</w:t>
      </w:r>
      <w:r>
        <w:rPr>
          <w:sz w:val="28"/>
        </w:rPr>
        <w:tab/>
        <w:t>ΗΛΕΚΤΡΟΝΙΚΗ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ΔΙΕΥΘΥΝΣΗ</w:t>
      </w:r>
      <w:hyperlink r:id="rId7">
        <w:r>
          <w:rPr>
            <w:color w:val="0000FF"/>
            <w:spacing w:val="-1"/>
            <w:sz w:val="28"/>
          </w:rPr>
          <w:t xml:space="preserve"> </w:t>
        </w:r>
        <w:r>
          <w:rPr>
            <w:b/>
            <w:color w:val="0000FF"/>
            <w:sz w:val="28"/>
          </w:rPr>
          <w:t>www.efka.gov.gr/menoumespiti</w:t>
        </w:r>
      </w:hyperlink>
      <w:r>
        <w:rPr>
          <w:b/>
          <w:color w:val="0000FF"/>
          <w:sz w:val="28"/>
        </w:rPr>
        <w:t xml:space="preserve"> </w:t>
      </w:r>
      <w:r>
        <w:rPr>
          <w:sz w:val="28"/>
        </w:rPr>
        <w:t xml:space="preserve">ΚΑΙ ΑΚΟΛΟΥΘΩΣ ΘΑ </w:t>
      </w:r>
      <w:r>
        <w:rPr>
          <w:b/>
          <w:sz w:val="28"/>
        </w:rPr>
        <w:t xml:space="preserve">ΕΝΗΜΕΡΩΝΟΝΤΑΙ ΜΕΣΩ E-MAIL Ή ΤΗΛΕΦΩΝΙΚΑ ΓΙΑ ΤΗΝ ΗΜΕΡΟΜΗΝΙΑ ΚΑΙ ΤΗΝ ΩΡΑ </w:t>
      </w:r>
      <w:r>
        <w:rPr>
          <w:sz w:val="28"/>
        </w:rPr>
        <w:t>ΠΟΥ ΘΑ ΠΡΟΣΕΛΘΟΥΝ ΣΤΟ ΥΠΟΚΑΤΑΣΤΗΜΑ ΝΑ ΕΞΥΠΗΡΕΤΗΘΟΥΝ. ΑΙΤΗΜΑΤΑ ΜΠΟΡΟΥΝ ΝΑ ΥΠΟΒΑΛΛΟΝΤΑΙ ΚΑΙ ΤΗΛΕΦΩΝΙΚΑ ΣΤΑ ΤΗΛΕΦΩΝΑ: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  <w:r w:rsidRPr="00143476">
        <w:rPr>
          <w:rFonts w:ascii="Arial Black" w:hAnsi="Arial Black"/>
          <w:b/>
          <w:sz w:val="28"/>
          <w:u w:val="single"/>
          <w:lang w:val="en-US"/>
        </w:rPr>
        <w:t>23210 55505</w:t>
      </w:r>
      <w:r>
        <w:rPr>
          <w:rFonts w:ascii="Times New Roman" w:hAnsi="Times New Roman"/>
          <w:sz w:val="28"/>
          <w:u w:val="single"/>
        </w:rPr>
        <w:tab/>
      </w:r>
    </w:p>
    <w:p w:rsidR="001A6E82" w:rsidRDefault="001A6E82" w:rsidP="001A6E82">
      <w:pPr>
        <w:pStyle w:val="a3"/>
        <w:rPr>
          <w:rFonts w:ascii="Times New Roman"/>
          <w:sz w:val="20"/>
        </w:rPr>
      </w:pPr>
    </w:p>
    <w:p w:rsidR="001A6E82" w:rsidRDefault="001A6E82" w:rsidP="001A6E82">
      <w:pPr>
        <w:pStyle w:val="a3"/>
        <w:spacing w:before="3"/>
        <w:rPr>
          <w:rFonts w:ascii="Times New Roman"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2644139</wp:posOffset>
            </wp:positionH>
            <wp:positionV relativeFrom="paragraph">
              <wp:posOffset>231220</wp:posOffset>
            </wp:positionV>
            <wp:extent cx="2224092" cy="1988820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4092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FB9" w:rsidRDefault="00866FB9"/>
    <w:sectPr w:rsidR="00866FB9" w:rsidSect="00866F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0084"/>
    <w:multiLevelType w:val="hybridMultilevel"/>
    <w:tmpl w:val="7C3A2DF4"/>
    <w:lvl w:ilvl="0" w:tplc="3ECA2038">
      <w:start w:val="1"/>
      <w:numFmt w:val="upperLetter"/>
      <w:lvlText w:val="%1."/>
      <w:lvlJc w:val="left"/>
      <w:pPr>
        <w:ind w:left="890" w:hanging="310"/>
        <w:jc w:val="left"/>
      </w:pPr>
      <w:rPr>
        <w:rFonts w:ascii="Cambria" w:eastAsia="Cambria" w:hAnsi="Cambria" w:cs="Cambria" w:hint="default"/>
        <w:w w:val="100"/>
        <w:sz w:val="28"/>
        <w:szCs w:val="28"/>
        <w:lang w:val="el-GR" w:eastAsia="el-GR" w:bidi="el-GR"/>
      </w:rPr>
    </w:lvl>
    <w:lvl w:ilvl="1" w:tplc="790C3212">
      <w:numFmt w:val="bullet"/>
      <w:lvlText w:val="•"/>
      <w:lvlJc w:val="left"/>
      <w:pPr>
        <w:ind w:left="1664" w:hanging="310"/>
      </w:pPr>
      <w:rPr>
        <w:rFonts w:hint="default"/>
        <w:lang w:val="el-GR" w:eastAsia="el-GR" w:bidi="el-GR"/>
      </w:rPr>
    </w:lvl>
    <w:lvl w:ilvl="2" w:tplc="440A8D00">
      <w:numFmt w:val="bullet"/>
      <w:lvlText w:val="•"/>
      <w:lvlJc w:val="left"/>
      <w:pPr>
        <w:ind w:left="2429" w:hanging="310"/>
      </w:pPr>
      <w:rPr>
        <w:rFonts w:hint="default"/>
        <w:lang w:val="el-GR" w:eastAsia="el-GR" w:bidi="el-GR"/>
      </w:rPr>
    </w:lvl>
    <w:lvl w:ilvl="3" w:tplc="B06478D4">
      <w:numFmt w:val="bullet"/>
      <w:lvlText w:val="•"/>
      <w:lvlJc w:val="left"/>
      <w:pPr>
        <w:ind w:left="3193" w:hanging="310"/>
      </w:pPr>
      <w:rPr>
        <w:rFonts w:hint="default"/>
        <w:lang w:val="el-GR" w:eastAsia="el-GR" w:bidi="el-GR"/>
      </w:rPr>
    </w:lvl>
    <w:lvl w:ilvl="4" w:tplc="CEAC3B5E">
      <w:numFmt w:val="bullet"/>
      <w:lvlText w:val="•"/>
      <w:lvlJc w:val="left"/>
      <w:pPr>
        <w:ind w:left="3958" w:hanging="310"/>
      </w:pPr>
      <w:rPr>
        <w:rFonts w:hint="default"/>
        <w:lang w:val="el-GR" w:eastAsia="el-GR" w:bidi="el-GR"/>
      </w:rPr>
    </w:lvl>
    <w:lvl w:ilvl="5" w:tplc="07769458">
      <w:numFmt w:val="bullet"/>
      <w:lvlText w:val="•"/>
      <w:lvlJc w:val="left"/>
      <w:pPr>
        <w:ind w:left="4723" w:hanging="310"/>
      </w:pPr>
      <w:rPr>
        <w:rFonts w:hint="default"/>
        <w:lang w:val="el-GR" w:eastAsia="el-GR" w:bidi="el-GR"/>
      </w:rPr>
    </w:lvl>
    <w:lvl w:ilvl="6" w:tplc="9A16D2BC">
      <w:numFmt w:val="bullet"/>
      <w:lvlText w:val="•"/>
      <w:lvlJc w:val="left"/>
      <w:pPr>
        <w:ind w:left="5487" w:hanging="310"/>
      </w:pPr>
      <w:rPr>
        <w:rFonts w:hint="default"/>
        <w:lang w:val="el-GR" w:eastAsia="el-GR" w:bidi="el-GR"/>
      </w:rPr>
    </w:lvl>
    <w:lvl w:ilvl="7" w:tplc="2BF8583E">
      <w:numFmt w:val="bullet"/>
      <w:lvlText w:val="•"/>
      <w:lvlJc w:val="left"/>
      <w:pPr>
        <w:ind w:left="6252" w:hanging="310"/>
      </w:pPr>
      <w:rPr>
        <w:rFonts w:hint="default"/>
        <w:lang w:val="el-GR" w:eastAsia="el-GR" w:bidi="el-GR"/>
      </w:rPr>
    </w:lvl>
    <w:lvl w:ilvl="8" w:tplc="CBA2C05A">
      <w:numFmt w:val="bullet"/>
      <w:lvlText w:val="•"/>
      <w:lvlJc w:val="left"/>
      <w:pPr>
        <w:ind w:left="7017" w:hanging="310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E82"/>
    <w:rsid w:val="001A6E82"/>
    <w:rsid w:val="0086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6E8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A6E82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1A6E82"/>
    <w:rPr>
      <w:rFonts w:ascii="Cambria" w:eastAsia="Cambria" w:hAnsi="Cambria" w:cs="Cambria"/>
      <w:sz w:val="24"/>
      <w:szCs w:val="24"/>
      <w:lang w:eastAsia="el-GR" w:bidi="el-GR"/>
    </w:rPr>
  </w:style>
  <w:style w:type="paragraph" w:styleId="a4">
    <w:name w:val="List Paragraph"/>
    <w:basedOn w:val="a"/>
    <w:uiPriority w:val="1"/>
    <w:qFormat/>
    <w:rsid w:val="001A6E82"/>
    <w:pPr>
      <w:ind w:left="840" w:right="117" w:hanging="360"/>
      <w:jc w:val="both"/>
    </w:pPr>
  </w:style>
  <w:style w:type="paragraph" w:styleId="a5">
    <w:name w:val="Balloon Text"/>
    <w:basedOn w:val="a"/>
    <w:link w:val="Char0"/>
    <w:uiPriority w:val="99"/>
    <w:semiHidden/>
    <w:unhideWhenUsed/>
    <w:rsid w:val="001A6E8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A6E82"/>
    <w:rPr>
      <w:rFonts w:ascii="Tahoma" w:eastAsia="Cambria" w:hAnsi="Tahoma" w:cs="Tahoma"/>
      <w:sz w:val="16"/>
      <w:szCs w:val="16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efka.gov.gr/menoumespi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ka.gov.g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</dc:creator>
  <cp:lastModifiedBy>OGA</cp:lastModifiedBy>
  <cp:revision>1</cp:revision>
  <dcterms:created xsi:type="dcterms:W3CDTF">2020-03-18T07:30:00Z</dcterms:created>
  <dcterms:modified xsi:type="dcterms:W3CDTF">2020-03-18T07:30:00Z</dcterms:modified>
</cp:coreProperties>
</file>